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A2" w:rsidRDefault="00F278A2" w:rsidP="00F278A2">
      <w:pPr>
        <w:pStyle w:val="a3"/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  <w:r w:rsidR="00751F6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Pr="00966024">
        <w:rPr>
          <w:b/>
          <w:sz w:val="28"/>
          <w:szCs w:val="28"/>
        </w:rPr>
        <w:t xml:space="preserve">Термодинамические характеристики </w:t>
      </w:r>
      <w:r>
        <w:rPr>
          <w:b/>
          <w:sz w:val="28"/>
          <w:szCs w:val="28"/>
        </w:rPr>
        <w:t>обратимых электрохимических процессов</w:t>
      </w:r>
      <w:r w:rsidR="00751F68">
        <w:rPr>
          <w:b/>
          <w:sz w:val="28"/>
          <w:szCs w:val="28"/>
        </w:rPr>
        <w:t>.</w:t>
      </w:r>
    </w:p>
    <w:p w:rsidR="00751F68" w:rsidRDefault="00751F68" w:rsidP="00F278A2">
      <w:pPr>
        <w:pStyle w:val="a3"/>
        <w:ind w:firstLine="454"/>
        <w:jc w:val="center"/>
        <w:rPr>
          <w:b/>
          <w:sz w:val="28"/>
          <w:szCs w:val="28"/>
        </w:rPr>
      </w:pPr>
    </w:p>
    <w:p w:rsidR="00751F68" w:rsidRDefault="00751F68" w:rsidP="00751F68">
      <w:pPr>
        <w:pStyle w:val="a3"/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Цель: дать теоретические и прикладные аспекты термодинамики</w:t>
      </w:r>
      <w:r w:rsidRPr="00751F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обратимых электрохимических процессов.</w:t>
      </w:r>
    </w:p>
    <w:p w:rsidR="00F278A2" w:rsidRPr="00966024" w:rsidRDefault="00F278A2" w:rsidP="00F278A2">
      <w:pPr>
        <w:pStyle w:val="a3"/>
        <w:ind w:firstLine="454"/>
        <w:jc w:val="center"/>
        <w:rPr>
          <w:b/>
          <w:sz w:val="28"/>
          <w:szCs w:val="28"/>
        </w:rPr>
      </w:pPr>
      <w:bookmarkStart w:id="0" w:name="_GoBack"/>
      <w:bookmarkEnd w:id="0"/>
    </w:p>
    <w:p w:rsidR="00F278A2" w:rsidRDefault="00F278A2" w:rsidP="00F278A2">
      <w:pPr>
        <w:pStyle w:val="a3"/>
        <w:ind w:firstLine="454"/>
      </w:pPr>
      <w:r>
        <w:t xml:space="preserve">Работа какого-либо обратимого процесса при определенных ограничениях, налагаемых на условия осуществления процесса, </w:t>
      </w:r>
      <w:proofErr w:type="gramStart"/>
      <w:r>
        <w:t>например</w:t>
      </w:r>
      <w:proofErr w:type="gramEnd"/>
      <w:r>
        <w:t xml:space="preserve"> при постоянстве температуры и давления, будет максимальной полезной работой, поэтому термодинамический расчет ЭДС возможен только в случае обратимых гальванических элементов. Зависимость максимальной полезной работы химической реакции в гальваническом элементе от температуры можно связать с уравнениями Гиббса-Гельмгольца:</w:t>
      </w:r>
    </w:p>
    <w:p w:rsidR="00F278A2" w:rsidRDefault="00F278A2" w:rsidP="00F278A2">
      <w:pPr>
        <w:pStyle w:val="a3"/>
        <w:ind w:firstLine="0"/>
        <w:jc w:val="center"/>
        <w:rPr>
          <w:lang w:val="ru-MD"/>
        </w:rPr>
      </w:pPr>
      <w:r>
        <w:rPr>
          <w:position w:val="-14"/>
          <w:lang w:val="en-US"/>
        </w:rPr>
        <w:object w:dxaOrig="2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25pt;height:18.8pt" o:ole="">
            <v:imagedata r:id="rId4" o:title=""/>
          </v:shape>
          <o:OLEObject Type="Embed" ProgID="Equation.3" ShapeID="_x0000_i1025" DrawAspect="Content" ObjectID="_1559503546" r:id="rId5"/>
        </w:object>
      </w:r>
      <w:r>
        <w:rPr>
          <w:lang w:val="ru-MD"/>
        </w:rPr>
        <w:t xml:space="preserve">                                 </w:t>
      </w:r>
    </w:p>
    <w:p w:rsidR="00F278A2" w:rsidRDefault="00F278A2" w:rsidP="00F278A2">
      <w:pPr>
        <w:pStyle w:val="a3"/>
        <w:ind w:firstLine="0"/>
        <w:jc w:val="center"/>
      </w:pPr>
      <w:r>
        <w:rPr>
          <w:position w:val="-12"/>
          <w:lang w:val="en-US"/>
        </w:rPr>
        <w:object w:dxaOrig="2480" w:dyaOrig="360">
          <v:shape id="_x0000_i1026" type="#_x0000_t75" style="width:123.6pt;height:17.75pt" o:ole="">
            <v:imagedata r:id="rId6" o:title=""/>
          </v:shape>
          <o:OLEObject Type="Embed" ProgID="Equation.3" ShapeID="_x0000_i1026" DrawAspect="Content" ObjectID="_1559503547" r:id="rId7"/>
        </w:object>
      </w:r>
      <w:r>
        <w:rPr>
          <w:lang w:val="ru-MD"/>
        </w:rPr>
        <w:t xml:space="preserve">                                  </w:t>
      </w:r>
    </w:p>
    <w:p w:rsidR="00F278A2" w:rsidRDefault="00F278A2" w:rsidP="00F278A2">
      <w:pPr>
        <w:pStyle w:val="a3"/>
        <w:ind w:firstLine="454"/>
      </w:pPr>
      <w:r>
        <w:t>Максимальная полезная работа электрохимической реакции равна</w:t>
      </w:r>
    </w:p>
    <w:p w:rsidR="00F278A2" w:rsidRDefault="00F278A2" w:rsidP="00F278A2">
      <w:pPr>
        <w:pStyle w:val="a3"/>
        <w:ind w:firstLine="0"/>
        <w:jc w:val="center"/>
      </w:pPr>
      <w:r>
        <w:t>А</w:t>
      </w:r>
      <w:r>
        <w:rPr>
          <w:vertAlign w:val="subscript"/>
        </w:rPr>
        <w:t>р</w:t>
      </w:r>
      <w:r>
        <w:t>=Е</w:t>
      </w:r>
      <w:proofErr w:type="spellStart"/>
      <w:r>
        <w:rPr>
          <w:vertAlign w:val="subscript"/>
          <w:lang w:val="en-US"/>
        </w:rPr>
        <w:t>p</w:t>
      </w:r>
      <w:r>
        <w:rPr>
          <w:lang w:val="en-US"/>
        </w:rPr>
        <w:t>nF</w:t>
      </w:r>
      <w:proofErr w:type="spellEnd"/>
      <w:r>
        <w:t xml:space="preserve">= - </w:t>
      </w:r>
      <w:r>
        <w:sym w:font="Symbol" w:char="F044"/>
      </w:r>
      <w:r>
        <w:rPr>
          <w:lang w:val="en-US"/>
        </w:rPr>
        <w:t>G</w:t>
      </w:r>
      <w:r>
        <w:t xml:space="preserve">                                           </w:t>
      </w:r>
    </w:p>
    <w:p w:rsidR="00F278A2" w:rsidRDefault="00F278A2" w:rsidP="00F278A2">
      <w:pPr>
        <w:pStyle w:val="a3"/>
        <w:ind w:firstLine="0"/>
        <w:jc w:val="center"/>
      </w:pPr>
      <w:r>
        <w:rPr>
          <w:lang w:val="en-US"/>
        </w:rPr>
        <w:t>A</w:t>
      </w:r>
      <w:r>
        <w:rPr>
          <w:vertAlign w:val="subscript"/>
          <w:lang w:val="en-US"/>
        </w:rPr>
        <w:t>v</w:t>
      </w:r>
      <w:r>
        <w:t>=</w:t>
      </w:r>
      <w:proofErr w:type="spellStart"/>
      <w:r>
        <w:rPr>
          <w:lang w:val="en-US"/>
        </w:rPr>
        <w:t>E</w:t>
      </w:r>
      <w:r>
        <w:rPr>
          <w:vertAlign w:val="subscript"/>
          <w:lang w:val="en-US"/>
        </w:rPr>
        <w:t>v</w:t>
      </w:r>
      <w:r>
        <w:rPr>
          <w:lang w:val="en-US"/>
        </w:rPr>
        <w:t>n</w:t>
      </w:r>
      <w:proofErr w:type="spellEnd"/>
      <w:r>
        <w:rPr>
          <w:vertAlign w:val="subscript"/>
        </w:rPr>
        <w:t xml:space="preserve"> </w:t>
      </w:r>
      <w:r>
        <w:rPr>
          <w:lang w:val="en-US"/>
        </w:rPr>
        <w:t>F</w:t>
      </w:r>
      <w:r>
        <w:t xml:space="preserve">= - </w:t>
      </w:r>
      <w:r>
        <w:sym w:font="Symbol" w:char="F044"/>
      </w:r>
      <w:r>
        <w:t xml:space="preserve"> </w:t>
      </w:r>
      <w:r>
        <w:rPr>
          <w:lang w:val="en-US"/>
        </w:rPr>
        <w:t>F</w:t>
      </w:r>
      <w:r>
        <w:t xml:space="preserve">                                         </w:t>
      </w:r>
    </w:p>
    <w:p w:rsidR="00F278A2" w:rsidRDefault="00F278A2" w:rsidP="00F278A2">
      <w:pPr>
        <w:pStyle w:val="a3"/>
        <w:ind w:firstLine="454"/>
      </w:pPr>
      <w:r>
        <w:t xml:space="preserve">Подставляя в уравнения Гиббса-Гельмгольца вместо </w:t>
      </w:r>
      <w:r>
        <w:sym w:font="Symbol" w:char="F044"/>
      </w:r>
      <w:r>
        <w:rPr>
          <w:lang w:val="en-US"/>
        </w:rPr>
        <w:t>G</w:t>
      </w:r>
      <w:r>
        <w:t xml:space="preserve"> и </w:t>
      </w:r>
      <w:r>
        <w:sym w:font="Symbol" w:char="F044"/>
      </w:r>
      <w:r>
        <w:rPr>
          <w:lang w:val="en-US"/>
        </w:rPr>
        <w:t>F</w:t>
      </w:r>
      <w:r>
        <w:t xml:space="preserve"> их значения, выраженные через ЭДС, можно получить эти уравнения в форме, связывающей ЭДС с тепловым эффектом реакции и температурой:</w:t>
      </w:r>
    </w:p>
    <w:p w:rsidR="00F278A2" w:rsidRDefault="00F278A2" w:rsidP="00F278A2">
      <w:pPr>
        <w:pStyle w:val="a3"/>
        <w:ind w:firstLine="0"/>
        <w:jc w:val="center"/>
      </w:pPr>
      <w:r>
        <w:t>Е</w:t>
      </w:r>
      <w:r>
        <w:rPr>
          <w:vertAlign w:val="subscript"/>
        </w:rPr>
        <w:t>р</w:t>
      </w:r>
      <w:r>
        <w:t>=</w:t>
      </w:r>
      <w:proofErr w:type="gramStart"/>
      <w:r>
        <w:t>-(</w:t>
      </w:r>
      <w:proofErr w:type="gramEnd"/>
      <w:r>
        <w:sym w:font="Symbol" w:char="F044"/>
      </w:r>
      <w:r>
        <w:t>Н/</w:t>
      </w:r>
      <w:r>
        <w:rPr>
          <w:vertAlign w:val="subscript"/>
        </w:rPr>
        <w:t xml:space="preserve"> </w:t>
      </w:r>
      <w:proofErr w:type="spellStart"/>
      <w:r>
        <w:rPr>
          <w:lang w:val="en-US"/>
        </w:rPr>
        <w:t>nF</w:t>
      </w:r>
      <w:proofErr w:type="spellEnd"/>
      <w:r>
        <w:t>)+Т(</w:t>
      </w:r>
      <w:r>
        <w:sym w:font="Symbol" w:char="F0B6"/>
      </w:r>
      <w:r>
        <w:t>Е/</w:t>
      </w:r>
      <w:r>
        <w:sym w:font="Symbol" w:char="F0B6"/>
      </w:r>
      <w:r>
        <w:rPr>
          <w:lang w:val="en-US"/>
        </w:rPr>
        <w:t>T</w:t>
      </w:r>
      <w:r>
        <w:t>)</w:t>
      </w:r>
      <w:r>
        <w:rPr>
          <w:vertAlign w:val="subscript"/>
        </w:rPr>
        <w:t>р</w:t>
      </w:r>
      <w:r>
        <w:t xml:space="preserve">         </w:t>
      </w:r>
    </w:p>
    <w:p w:rsidR="00F278A2" w:rsidRPr="00F278A2" w:rsidRDefault="00F278A2" w:rsidP="00F278A2">
      <w:pPr>
        <w:pStyle w:val="a3"/>
        <w:ind w:firstLine="0"/>
        <w:jc w:val="center"/>
      </w:pPr>
      <w:proofErr w:type="spellStart"/>
      <w:r>
        <w:rPr>
          <w:lang w:val="en-US"/>
        </w:rPr>
        <w:t>E</w:t>
      </w:r>
      <w:r>
        <w:rPr>
          <w:vertAlign w:val="subscript"/>
          <w:lang w:val="en-US"/>
        </w:rPr>
        <w:t>v</w:t>
      </w:r>
      <w:proofErr w:type="spellEnd"/>
      <w:r w:rsidRPr="00F278A2">
        <w:t>=-(</w:t>
      </w:r>
      <w:r>
        <w:sym w:font="Symbol" w:char="F044"/>
      </w:r>
      <w:r>
        <w:rPr>
          <w:lang w:val="en-US"/>
        </w:rPr>
        <w:t>U</w:t>
      </w:r>
      <w:r w:rsidRPr="00F278A2">
        <w:t>/</w:t>
      </w:r>
      <w:r w:rsidRPr="00F278A2">
        <w:rPr>
          <w:vertAlign w:val="subscript"/>
        </w:rPr>
        <w:t xml:space="preserve"> </w:t>
      </w:r>
      <w:proofErr w:type="spellStart"/>
      <w:r>
        <w:rPr>
          <w:lang w:val="en-US"/>
        </w:rPr>
        <w:t>nF</w:t>
      </w:r>
      <w:proofErr w:type="spellEnd"/>
      <w:proofErr w:type="gramStart"/>
      <w:r w:rsidRPr="00F278A2">
        <w:t>)+</w:t>
      </w:r>
      <w:proofErr w:type="gramEnd"/>
      <w:r>
        <w:t>Т</w:t>
      </w:r>
      <w:r w:rsidRPr="00F278A2">
        <w:t>(</w:t>
      </w:r>
      <w:r>
        <w:sym w:font="Symbol" w:char="F0B6"/>
      </w:r>
      <w:r>
        <w:t>Е</w:t>
      </w:r>
      <w:r w:rsidRPr="00F278A2">
        <w:t>/</w:t>
      </w:r>
      <w:r>
        <w:sym w:font="Symbol" w:char="F0B6"/>
      </w:r>
      <w:r>
        <w:rPr>
          <w:lang w:val="en-US"/>
        </w:rPr>
        <w:t>T</w:t>
      </w:r>
      <w:r w:rsidRPr="00F278A2">
        <w:t>)</w:t>
      </w:r>
      <w:r>
        <w:rPr>
          <w:vertAlign w:val="subscript"/>
          <w:lang w:val="en-US"/>
        </w:rPr>
        <w:t>v</w:t>
      </w:r>
      <w:r w:rsidRPr="00F278A2">
        <w:t xml:space="preserve">                                          </w:t>
      </w:r>
    </w:p>
    <w:p w:rsidR="00F278A2" w:rsidRDefault="00F278A2" w:rsidP="00F278A2">
      <w:pPr>
        <w:pStyle w:val="a3"/>
        <w:ind w:firstLine="0"/>
        <w:rPr>
          <w:szCs w:val="28"/>
        </w:rPr>
      </w:pPr>
      <w:r>
        <w:rPr>
          <w:szCs w:val="28"/>
        </w:rPr>
        <w:t xml:space="preserve">где </w:t>
      </w:r>
      <w:r>
        <w:rPr>
          <w:bCs/>
          <w:szCs w:val="28"/>
          <w:u w:val="single"/>
        </w:rPr>
        <w:sym w:font="Symbol" w:char="F0B6"/>
      </w:r>
      <w:r>
        <w:rPr>
          <w:bCs/>
          <w:szCs w:val="28"/>
          <w:u w:val="single"/>
        </w:rPr>
        <w:t>Е/</w:t>
      </w:r>
      <w:r>
        <w:rPr>
          <w:bCs/>
          <w:szCs w:val="28"/>
          <w:u w:val="single"/>
        </w:rPr>
        <w:sym w:font="Symbol" w:char="F0B6"/>
      </w:r>
      <w:r>
        <w:rPr>
          <w:bCs/>
          <w:szCs w:val="28"/>
          <w:u w:val="single"/>
          <w:lang w:val="en-US"/>
        </w:rPr>
        <w:t>T</w:t>
      </w:r>
      <w:r>
        <w:rPr>
          <w:bCs/>
          <w:szCs w:val="28"/>
          <w:u w:val="single"/>
        </w:rPr>
        <w:t xml:space="preserve"> – температурный коэффициент</w:t>
      </w:r>
      <w:r>
        <w:rPr>
          <w:szCs w:val="28"/>
        </w:rPr>
        <w:t xml:space="preserve">, который показывает во сколько раз изменяется ЭДС при увеличении температуры на 1 К.     </w:t>
      </w:r>
    </w:p>
    <w:p w:rsidR="00F278A2" w:rsidRDefault="00F278A2" w:rsidP="00F278A2">
      <w:pPr>
        <w:pStyle w:val="a3"/>
        <w:ind w:firstLine="454"/>
      </w:pPr>
      <w:r>
        <w:t>Или, учитывая, что -</w:t>
      </w:r>
      <w:r>
        <w:sym w:font="Symbol" w:char="F044"/>
      </w:r>
      <w:r>
        <w:t>Н=</w:t>
      </w:r>
      <w:proofErr w:type="spellStart"/>
      <w:r>
        <w:rPr>
          <w:lang w:val="en-US"/>
        </w:rPr>
        <w:t>Q</w:t>
      </w:r>
      <w:r>
        <w:rPr>
          <w:vertAlign w:val="subscript"/>
          <w:lang w:val="en-US"/>
        </w:rPr>
        <w:t>p</w:t>
      </w:r>
      <w:proofErr w:type="spellEnd"/>
      <w:r>
        <w:t xml:space="preserve"> – тепловой эффект реакции при постоянном давлении, а -</w:t>
      </w:r>
      <w:r>
        <w:sym w:font="Symbol" w:char="F044"/>
      </w:r>
      <w:r>
        <w:rPr>
          <w:lang w:val="en-US"/>
        </w:rPr>
        <w:t>U</w:t>
      </w:r>
      <w:r>
        <w:t>=</w:t>
      </w:r>
      <w:r>
        <w:rPr>
          <w:lang w:val="en-US"/>
        </w:rPr>
        <w:t>Q</w:t>
      </w:r>
      <w:r>
        <w:rPr>
          <w:vertAlign w:val="subscript"/>
          <w:lang w:val="en-US"/>
        </w:rPr>
        <w:t>v</w:t>
      </w:r>
      <w:r>
        <w:t xml:space="preserve"> - тепловой эффект реакции при постоянном объеме, можно получить </w:t>
      </w:r>
      <w:r>
        <w:rPr>
          <w:bCs/>
          <w:iCs/>
          <w:u w:val="single"/>
        </w:rPr>
        <w:t>уравнения Томсона,</w:t>
      </w:r>
      <w:r>
        <w:t xml:space="preserve"> являющиеся частным случаем уравнений Гиббса-Гельмгольца:</w:t>
      </w:r>
    </w:p>
    <w:p w:rsidR="00F278A2" w:rsidRDefault="00F278A2" w:rsidP="00F278A2">
      <w:pPr>
        <w:pStyle w:val="a3"/>
        <w:ind w:firstLine="0"/>
        <w:jc w:val="center"/>
      </w:pPr>
      <w:r>
        <w:t>Е</w:t>
      </w:r>
      <w:r>
        <w:rPr>
          <w:vertAlign w:val="subscript"/>
        </w:rPr>
        <w:t>р</w:t>
      </w:r>
      <w:proofErr w:type="gramStart"/>
      <w:r>
        <w:t>=(</w:t>
      </w:r>
      <w:proofErr w:type="spellStart"/>
      <w:proofErr w:type="gramEnd"/>
      <w:r>
        <w:rPr>
          <w:lang w:val="en-US"/>
        </w:rPr>
        <w:t>Q</w:t>
      </w:r>
      <w:r>
        <w:rPr>
          <w:vertAlign w:val="subscript"/>
          <w:lang w:val="en-US"/>
        </w:rPr>
        <w:t>p</w:t>
      </w:r>
      <w:proofErr w:type="spellEnd"/>
      <w:r>
        <w:t>/</w:t>
      </w:r>
      <w:r>
        <w:rPr>
          <w:vertAlign w:val="subscript"/>
        </w:rPr>
        <w:t xml:space="preserve"> </w:t>
      </w:r>
      <w:proofErr w:type="spellStart"/>
      <w:r>
        <w:rPr>
          <w:lang w:val="en-US"/>
        </w:rPr>
        <w:t>nF</w:t>
      </w:r>
      <w:proofErr w:type="spellEnd"/>
      <w:r>
        <w:t>)+Т(</w:t>
      </w:r>
      <w:r>
        <w:sym w:font="Symbol" w:char="F0B6"/>
      </w:r>
      <w:r>
        <w:t>Е/</w:t>
      </w:r>
      <w:r>
        <w:sym w:font="Symbol" w:char="F0B6"/>
      </w:r>
      <w:r>
        <w:rPr>
          <w:lang w:val="en-US"/>
        </w:rPr>
        <w:t>T</w:t>
      </w:r>
      <w:r>
        <w:t>)</w:t>
      </w:r>
      <w:r>
        <w:rPr>
          <w:vertAlign w:val="subscript"/>
        </w:rPr>
        <w:t>р</w:t>
      </w:r>
      <w:r>
        <w:t xml:space="preserve">                                      </w:t>
      </w:r>
    </w:p>
    <w:p w:rsidR="00F278A2" w:rsidRDefault="00F278A2" w:rsidP="00F278A2">
      <w:pPr>
        <w:pStyle w:val="a3"/>
        <w:ind w:firstLine="0"/>
        <w:jc w:val="center"/>
        <w:rPr>
          <w:lang w:val="en-US"/>
        </w:rPr>
      </w:pPr>
      <w:proofErr w:type="spellStart"/>
      <w:r>
        <w:rPr>
          <w:lang w:val="en-US"/>
        </w:rPr>
        <w:t>E</w:t>
      </w:r>
      <w:r>
        <w:rPr>
          <w:vertAlign w:val="subscript"/>
          <w:lang w:val="en-US"/>
        </w:rPr>
        <w:t>v</w:t>
      </w:r>
      <w:proofErr w:type="spellEnd"/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Q</w:t>
      </w:r>
      <w:r>
        <w:rPr>
          <w:vertAlign w:val="subscript"/>
          <w:lang w:val="en-US"/>
        </w:rPr>
        <w:t>v</w:t>
      </w:r>
      <w:r>
        <w:rPr>
          <w:lang w:val="en-US"/>
        </w:rPr>
        <w:t>/</w:t>
      </w:r>
      <w:r>
        <w:rPr>
          <w:vertAlign w:val="subscript"/>
          <w:lang w:val="en-US"/>
        </w:rPr>
        <w:t xml:space="preserve"> </w:t>
      </w:r>
      <w:proofErr w:type="spellStart"/>
      <w:r>
        <w:rPr>
          <w:lang w:val="en-US"/>
        </w:rPr>
        <w:t>nF</w:t>
      </w:r>
      <w:proofErr w:type="spellEnd"/>
      <w:r>
        <w:rPr>
          <w:lang w:val="en-US"/>
        </w:rPr>
        <w:t>)+</w:t>
      </w:r>
      <w:r>
        <w:t>Т</w:t>
      </w:r>
      <w:r>
        <w:rPr>
          <w:lang w:val="en-US"/>
        </w:rPr>
        <w:t>(</w:t>
      </w:r>
      <w:r>
        <w:sym w:font="Symbol" w:char="F0B6"/>
      </w:r>
      <w:r>
        <w:t>Е</w:t>
      </w:r>
      <w:r>
        <w:rPr>
          <w:lang w:val="en-US"/>
        </w:rPr>
        <w:t>/</w:t>
      </w:r>
      <w:r>
        <w:sym w:font="Symbol" w:char="F0B6"/>
      </w:r>
      <w:r>
        <w:rPr>
          <w:lang w:val="en-US"/>
        </w:rPr>
        <w:t>T)</w:t>
      </w:r>
      <w:r>
        <w:rPr>
          <w:vertAlign w:val="subscript"/>
          <w:lang w:val="en-US"/>
        </w:rPr>
        <w:t>v</w:t>
      </w:r>
      <w:r>
        <w:rPr>
          <w:lang w:val="en-US"/>
        </w:rPr>
        <w:t xml:space="preserve">                                      </w:t>
      </w:r>
    </w:p>
    <w:p w:rsidR="00F278A2" w:rsidRDefault="00F278A2" w:rsidP="00F278A2">
      <w:pPr>
        <w:pStyle w:val="a3"/>
        <w:ind w:firstLine="454"/>
      </w:pPr>
      <w:r>
        <w:t>В том случае, когда ЭДС гальванического элемента не зависит от температуры, т.е. (</w:t>
      </w:r>
      <w:r>
        <w:sym w:font="Symbol" w:char="F0B6"/>
      </w:r>
      <w:r>
        <w:t>Е/</w:t>
      </w:r>
      <w:r>
        <w:sym w:font="Symbol" w:char="F0B6"/>
      </w:r>
      <w:proofErr w:type="gramStart"/>
      <w:r>
        <w:rPr>
          <w:lang w:val="en-US"/>
        </w:rPr>
        <w:t>T</w:t>
      </w:r>
      <w:r>
        <w:t>)</w:t>
      </w:r>
      <w:r>
        <w:rPr>
          <w:vertAlign w:val="subscript"/>
        </w:rPr>
        <w:t>р</w:t>
      </w:r>
      <w:proofErr w:type="gramEnd"/>
      <w:r>
        <w:t>=0 или  (</w:t>
      </w:r>
      <w:r>
        <w:sym w:font="Symbol" w:char="F0B6"/>
      </w:r>
      <w:r>
        <w:t>Е/</w:t>
      </w:r>
      <w:r>
        <w:sym w:font="Symbol" w:char="F0B6"/>
      </w:r>
      <w:r>
        <w:rPr>
          <w:lang w:val="en-US"/>
        </w:rPr>
        <w:t>T</w:t>
      </w:r>
      <w:r>
        <w:t>)</w:t>
      </w:r>
      <w:r>
        <w:rPr>
          <w:vertAlign w:val="subscript"/>
          <w:lang w:val="en-US"/>
        </w:rPr>
        <w:t>v</w:t>
      </w:r>
      <w:r>
        <w:t xml:space="preserve">=0, эти уравнения переходят в: </w:t>
      </w:r>
    </w:p>
    <w:p w:rsidR="00F278A2" w:rsidRDefault="00F278A2" w:rsidP="00F278A2">
      <w:pPr>
        <w:pStyle w:val="a3"/>
        <w:ind w:firstLine="0"/>
        <w:jc w:val="center"/>
        <w:rPr>
          <w:lang w:val="en-US"/>
        </w:rPr>
      </w:pPr>
      <w:r>
        <w:t>Е</w:t>
      </w:r>
      <w:r>
        <w:rPr>
          <w:vertAlign w:val="subscript"/>
        </w:rPr>
        <w:t>р</w:t>
      </w:r>
      <w:r>
        <w:rPr>
          <w:lang w:val="en-US"/>
        </w:rPr>
        <w:t>=</w:t>
      </w:r>
      <w:proofErr w:type="spellStart"/>
      <w:r>
        <w:rPr>
          <w:lang w:val="en-US"/>
        </w:rPr>
        <w:t>Q</w:t>
      </w:r>
      <w:r>
        <w:rPr>
          <w:vertAlign w:val="subscript"/>
          <w:lang w:val="en-US"/>
        </w:rPr>
        <w:t>p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nF</w:t>
      </w:r>
      <w:proofErr w:type="spellEnd"/>
      <w:r>
        <w:rPr>
          <w:lang w:val="en-US"/>
        </w:rPr>
        <w:t xml:space="preserve">                                                 </w:t>
      </w:r>
    </w:p>
    <w:p w:rsidR="00F278A2" w:rsidRDefault="00F278A2" w:rsidP="00F278A2">
      <w:pPr>
        <w:pStyle w:val="a3"/>
        <w:ind w:firstLine="0"/>
        <w:jc w:val="center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E</w:t>
      </w:r>
      <w:r>
        <w:rPr>
          <w:vertAlign w:val="subscript"/>
          <w:lang w:val="en-US"/>
        </w:rPr>
        <w:t>v</w:t>
      </w:r>
      <w:proofErr w:type="spellEnd"/>
      <w:r>
        <w:rPr>
          <w:lang w:val="en-US"/>
        </w:rPr>
        <w:t>=Q</w:t>
      </w:r>
      <w:r>
        <w:rPr>
          <w:vertAlign w:val="subscript"/>
          <w:lang w:val="en-US"/>
        </w:rPr>
        <w:t>v</w:t>
      </w:r>
      <w:r>
        <w:rPr>
          <w:lang w:val="en-US"/>
        </w:rPr>
        <w:t>/</w:t>
      </w:r>
      <w:proofErr w:type="spellStart"/>
      <w:r>
        <w:rPr>
          <w:lang w:val="en-US"/>
        </w:rPr>
        <w:t>nF</w:t>
      </w:r>
      <w:proofErr w:type="spellEnd"/>
      <w:r>
        <w:rPr>
          <w:lang w:val="en-US"/>
        </w:rPr>
        <w:t xml:space="preserve">                                                 </w:t>
      </w:r>
    </w:p>
    <w:p w:rsidR="00F278A2" w:rsidRDefault="00F278A2" w:rsidP="00F278A2">
      <w:pPr>
        <w:pStyle w:val="a3"/>
        <w:ind w:firstLine="454"/>
      </w:pPr>
      <w:r>
        <w:t xml:space="preserve">Если </w:t>
      </w:r>
      <w:r>
        <w:sym w:font="Symbol" w:char="F0B6"/>
      </w:r>
      <w:r>
        <w:t>Е/</w:t>
      </w:r>
      <w:r>
        <w:sym w:font="Symbol" w:char="F0B6"/>
      </w:r>
      <w:proofErr w:type="gramStart"/>
      <w:r>
        <w:rPr>
          <w:lang w:val="en-US"/>
        </w:rPr>
        <w:t>T</w:t>
      </w:r>
      <w:r>
        <w:t xml:space="preserve"> </w:t>
      </w:r>
      <w:r>
        <w:sym w:font="Symbol" w:char="F03E"/>
      </w:r>
      <w:r>
        <w:t xml:space="preserve"> 0</w:t>
      </w:r>
      <w:proofErr w:type="gramEnd"/>
      <w:r>
        <w:t xml:space="preserve">, то </w:t>
      </w:r>
      <w:r>
        <w:rPr>
          <w:position w:val="-12"/>
        </w:rPr>
        <w:object w:dxaOrig="1620" w:dyaOrig="360">
          <v:shape id="_x0000_i1027" type="#_x0000_t75" style="width:81.15pt;height:17.75pt" o:ole="">
            <v:imagedata r:id="rId8" o:title=""/>
          </v:shape>
          <o:OLEObject Type="Embed" ProgID="Equation.3" ShapeID="_x0000_i1027" DrawAspect="Content" ObjectID="_1559503548" r:id="rId9"/>
        </w:object>
      </w:r>
      <w:r>
        <w:t xml:space="preserve"> и гальванический элемент работает с поглощением тепла, т.е. элемент охлаждается.</w:t>
      </w:r>
    </w:p>
    <w:p w:rsidR="00F278A2" w:rsidRDefault="00F278A2" w:rsidP="00F278A2">
      <w:pPr>
        <w:pStyle w:val="a3"/>
        <w:ind w:firstLine="454"/>
      </w:pPr>
      <w:r>
        <w:t xml:space="preserve">А если </w:t>
      </w:r>
      <w:r>
        <w:sym w:font="Symbol" w:char="F0B6"/>
      </w:r>
      <w:r>
        <w:t>Е/</w:t>
      </w:r>
      <w:r>
        <w:sym w:font="Symbol" w:char="F0B6"/>
      </w:r>
      <w:proofErr w:type="gramStart"/>
      <w:r>
        <w:rPr>
          <w:lang w:val="en-US"/>
        </w:rPr>
        <w:t>T</w:t>
      </w:r>
      <w:r>
        <w:t xml:space="preserve"> </w:t>
      </w:r>
      <w:r>
        <w:sym w:font="Symbol" w:char="F03C"/>
      </w:r>
      <w:r>
        <w:t xml:space="preserve"> 0</w:t>
      </w:r>
      <w:proofErr w:type="gramEnd"/>
      <w:r>
        <w:t>, то А</w:t>
      </w:r>
      <w:r>
        <w:rPr>
          <w:vertAlign w:val="subscript"/>
          <w:lang w:val="en-US"/>
        </w:rPr>
        <w:t>max</w:t>
      </w:r>
      <w:r>
        <w:t xml:space="preserve"> </w:t>
      </w:r>
      <w:r>
        <w:sym w:font="Symbol" w:char="F03C"/>
      </w:r>
      <w:r>
        <w:t xml:space="preserve"> </w:t>
      </w:r>
      <w:r>
        <w:rPr>
          <w:lang w:val="en-US"/>
        </w:rPr>
        <w:t>Q</w:t>
      </w:r>
      <w:r>
        <w:rPr>
          <w:vertAlign w:val="subscript"/>
        </w:rPr>
        <w:t xml:space="preserve">  </w:t>
      </w:r>
      <w:r>
        <w:t>и гальванический элемент работает с выделением тепла, т.е. элемент нагревается.</w:t>
      </w:r>
    </w:p>
    <w:p w:rsidR="00F278A2" w:rsidRDefault="00F278A2" w:rsidP="00F278A2">
      <w:pPr>
        <w:pStyle w:val="a3"/>
        <w:ind w:firstLine="454"/>
      </w:pPr>
      <w:r>
        <w:t xml:space="preserve">Изменение энтропии при электрохимической реакции, протекающей в гальваническом элементе, определяют по формуле:              </w:t>
      </w:r>
    </w:p>
    <w:p w:rsidR="00F278A2" w:rsidRDefault="00F278A2" w:rsidP="00F278A2">
      <w:pPr>
        <w:pStyle w:val="a3"/>
        <w:ind w:firstLine="0"/>
        <w:jc w:val="center"/>
      </w:pPr>
      <w:r>
        <w:rPr>
          <w:position w:val="-28"/>
        </w:rPr>
        <w:object w:dxaOrig="2220" w:dyaOrig="680">
          <v:shape id="_x0000_i1028" type="#_x0000_t75" style="width:111.2pt;height:33.85pt" o:ole="">
            <v:imagedata r:id="rId10" o:title=""/>
          </v:shape>
          <o:OLEObject Type="Embed" ProgID="Equation.3" ShapeID="_x0000_i1028" DrawAspect="Content" ObjectID="_1559503549" r:id="rId11"/>
        </w:object>
      </w:r>
      <w:r>
        <w:t xml:space="preserve">,                                        </w:t>
      </w:r>
    </w:p>
    <w:p w:rsidR="00F278A2" w:rsidRDefault="00F278A2" w:rsidP="00F278A2">
      <w:pPr>
        <w:pStyle w:val="a3"/>
        <w:ind w:firstLine="0"/>
      </w:pPr>
      <w:r>
        <w:t>а изменение энтальпии реакции рассчитывают по следующему уравнению:</w:t>
      </w:r>
    </w:p>
    <w:p w:rsidR="00F278A2" w:rsidRDefault="00F278A2" w:rsidP="00F278A2">
      <w:pPr>
        <w:pStyle w:val="a3"/>
        <w:ind w:firstLine="0"/>
        <w:jc w:val="center"/>
      </w:pPr>
      <w:r>
        <w:rPr>
          <w:position w:val="-24"/>
        </w:rPr>
        <w:object w:dxaOrig="2260" w:dyaOrig="620">
          <v:shape id="_x0000_i1029" type="#_x0000_t75" style="width:112.85pt;height:31.15pt" o:ole="">
            <v:imagedata r:id="rId12" o:title=""/>
          </v:shape>
          <o:OLEObject Type="Embed" ProgID="Equation.3" ShapeID="_x0000_i1029" DrawAspect="Content" ObjectID="_1559503550" r:id="rId13"/>
        </w:object>
      </w:r>
      <w:r>
        <w:t xml:space="preserve">                                      </w:t>
      </w:r>
    </w:p>
    <w:p w:rsidR="00F278A2" w:rsidRDefault="00F278A2" w:rsidP="00F278A2">
      <w:pPr>
        <w:pStyle w:val="a3"/>
        <w:ind w:firstLine="454"/>
      </w:pPr>
      <w:r>
        <w:t>Связь константы равновесия химической реакции и стандартной Е</w:t>
      </w:r>
      <w:r>
        <w:rPr>
          <w:vertAlign w:val="superscript"/>
        </w:rPr>
        <w:t>0</w:t>
      </w:r>
      <w:r>
        <w:t xml:space="preserve"> выражается соотношением:</w:t>
      </w:r>
    </w:p>
    <w:p w:rsidR="00F278A2" w:rsidRDefault="00F278A2" w:rsidP="00F278A2">
      <w:pPr>
        <w:pStyle w:val="a3"/>
        <w:ind w:firstLine="0"/>
        <w:jc w:val="center"/>
      </w:pPr>
      <w:r>
        <w:rPr>
          <w:position w:val="-12"/>
          <w:lang w:val="en-US"/>
        </w:rPr>
        <w:object w:dxaOrig="1460" w:dyaOrig="380">
          <v:shape id="_x0000_i1030" type="#_x0000_t75" style="width:73.05pt;height:18.8pt" o:ole="">
            <v:imagedata r:id="rId14" o:title=""/>
          </v:shape>
          <o:OLEObject Type="Embed" ProgID="Equation.3" ShapeID="_x0000_i1030" DrawAspect="Content" ObjectID="_1559503551" r:id="rId15"/>
        </w:object>
      </w:r>
      <w:r>
        <w:t xml:space="preserve">      или         </w:t>
      </w:r>
      <w:r>
        <w:rPr>
          <w:position w:val="-28"/>
          <w:lang w:val="en-US"/>
        </w:rPr>
        <w:object w:dxaOrig="1780" w:dyaOrig="720">
          <v:shape id="_x0000_i1031" type="#_x0000_t75" style="width:89.2pt;height:36.55pt" o:ole="">
            <v:imagedata r:id="rId16" o:title=""/>
          </v:shape>
          <o:OLEObject Type="Embed" ProgID="Equation.3" ShapeID="_x0000_i1031" DrawAspect="Content" ObjectID="_1559503552" r:id="rId17"/>
        </w:object>
      </w:r>
      <w:r>
        <w:t xml:space="preserve"> при Т=298</w:t>
      </w:r>
      <w:r>
        <w:rPr>
          <w:vertAlign w:val="superscript"/>
        </w:rPr>
        <w:t>0</w:t>
      </w:r>
      <w:r>
        <w:t xml:space="preserve"> К,                        </w:t>
      </w:r>
    </w:p>
    <w:p w:rsidR="00F278A2" w:rsidRDefault="00F278A2" w:rsidP="00F278A2">
      <w:pPr>
        <w:pStyle w:val="a3"/>
        <w:ind w:firstLine="0"/>
      </w:pPr>
      <w:r>
        <w:lastRenderedPageBreak/>
        <w:t xml:space="preserve">где электродный потенциал </w:t>
      </w:r>
      <w:r>
        <w:sym w:font="Symbol" w:char="F065"/>
      </w:r>
      <w:r>
        <w:rPr>
          <w:vertAlign w:val="subscript"/>
        </w:rPr>
        <w:t>2</w:t>
      </w:r>
      <w:r>
        <w:rPr>
          <w:vertAlign w:val="superscript"/>
        </w:rPr>
        <w:t>0</w:t>
      </w:r>
      <w:r>
        <w:t xml:space="preserve"> больше электродного потенциала </w:t>
      </w:r>
      <w:r>
        <w:sym w:font="Symbol" w:char="F065"/>
      </w:r>
      <w:r>
        <w:rPr>
          <w:vertAlign w:val="subscript"/>
        </w:rPr>
        <w:t>1</w:t>
      </w:r>
      <w:r>
        <w:rPr>
          <w:vertAlign w:val="superscript"/>
        </w:rPr>
        <w:t>0</w:t>
      </w:r>
      <w:r>
        <w:t>.</w:t>
      </w:r>
    </w:p>
    <w:p w:rsidR="00F278A2" w:rsidRDefault="00F278A2" w:rsidP="00F278A2">
      <w:pPr>
        <w:pStyle w:val="a3"/>
        <w:ind w:firstLine="454"/>
      </w:pPr>
      <w:r>
        <w:t xml:space="preserve">Теплоемкость </w:t>
      </w:r>
      <w:proofErr w:type="gramStart"/>
      <w:r>
        <w:t xml:space="preserve">определяют:   </w:t>
      </w:r>
      <w:proofErr w:type="gramEnd"/>
      <w:r>
        <w:rPr>
          <w:position w:val="-24"/>
        </w:rPr>
        <w:object w:dxaOrig="1660" w:dyaOrig="660">
          <v:shape id="_x0000_i1032" type="#_x0000_t75" style="width:82.75pt;height:32.8pt" o:ole="">
            <v:imagedata r:id="rId18" o:title=""/>
          </v:shape>
          <o:OLEObject Type="Embed" ProgID="Equation.3" ShapeID="_x0000_i1032" DrawAspect="Content" ObjectID="_1559503553" r:id="rId19"/>
        </w:object>
      </w:r>
      <w:r>
        <w:t>.</w:t>
      </w:r>
    </w:p>
    <w:p w:rsidR="00F278A2" w:rsidRDefault="00F278A2" w:rsidP="00F278A2">
      <w:pPr>
        <w:pStyle w:val="a3"/>
        <w:ind w:firstLine="454"/>
      </w:pPr>
      <w:r>
        <w:t xml:space="preserve">                              </w:t>
      </w:r>
    </w:p>
    <w:p w:rsidR="001774C5" w:rsidRDefault="00751F68"/>
    <w:sectPr w:rsidR="0017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A2"/>
    <w:rsid w:val="005F365F"/>
    <w:rsid w:val="00751F68"/>
    <w:rsid w:val="00C45018"/>
    <w:rsid w:val="00F2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0886-22CD-424F-A3FF-D6F0B33C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78A2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78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2017-06-20T13:02:00Z</dcterms:created>
  <dcterms:modified xsi:type="dcterms:W3CDTF">2017-06-20T16:39:00Z</dcterms:modified>
</cp:coreProperties>
</file>